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p>
    <w:tbl>
      <w:tblPr>
        <w:tblStyle w:val="Table1"/>
        <w:tblW w:w="9639.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567"/>
        <w:gridCol w:w="6072"/>
        <w:tblGridChange w:id="0">
          <w:tblGrid>
            <w:gridCol w:w="3567"/>
            <w:gridCol w:w="6072"/>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999999" w:val="clear"/>
            <w:tcMar>
              <w:top w:w="100.0" w:type="dxa"/>
              <w:left w:w="100.0" w:type="dxa"/>
              <w:bottom w:w="100.0" w:type="dxa"/>
              <w:right w:w="100.0" w:type="dxa"/>
            </w:tcMar>
          </w:tcPr>
          <w:p w:rsidR="00000000" w:rsidDel="00000000" w:rsidP="00000000" w:rsidRDefault="00000000" w:rsidRPr="00000000" w14:paraId="00000002">
            <w:pPr>
              <w:rPr>
                <w:b w:val="1"/>
              </w:rPr>
            </w:pPr>
            <w:r w:rsidDel="00000000" w:rsidR="00000000" w:rsidRPr="00000000">
              <w:rPr>
                <w:b w:val="1"/>
                <w:rtl w:val="0"/>
              </w:rPr>
              <w:t xml:space="preserve">Name of School:</w:t>
            </w:r>
          </w:p>
        </w:tc>
        <w:tc>
          <w:tcPr>
            <w:tcBorders>
              <w:top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03">
            <w:pPr>
              <w:rPr/>
            </w:pPr>
            <w:r w:rsidDel="00000000" w:rsidR="00000000" w:rsidRPr="00000000">
              <w:rPr>
                <w:rtl w:val="0"/>
              </w:rPr>
            </w:r>
          </w:p>
        </w:tc>
      </w:tr>
      <w:tr>
        <w:trPr>
          <w:cantSplit w:val="0"/>
          <w:tblHeader w:val="0"/>
        </w:trPr>
        <w:tc>
          <w:tcPr>
            <w:tcBorders>
              <w:left w:color="000000" w:space="0" w:sz="12" w:val="single"/>
              <w:bottom w:color="000000" w:space="0" w:sz="12" w:val="single"/>
              <w:right w:color="000000" w:space="0" w:sz="12" w:val="single"/>
            </w:tcBorders>
            <w:shd w:fill="999999" w:val="clear"/>
            <w:tcMar>
              <w:top w:w="100.0" w:type="dxa"/>
              <w:left w:w="100.0" w:type="dxa"/>
              <w:bottom w:w="100.0" w:type="dxa"/>
              <w:right w:w="100.0" w:type="dxa"/>
            </w:tcMar>
          </w:tcPr>
          <w:p w:rsidR="00000000" w:rsidDel="00000000" w:rsidP="00000000" w:rsidRDefault="00000000" w:rsidRPr="00000000" w14:paraId="00000004">
            <w:pPr>
              <w:rPr>
                <w:b w:val="1"/>
              </w:rPr>
            </w:pPr>
            <w:r w:rsidDel="00000000" w:rsidR="00000000" w:rsidRPr="00000000">
              <w:rPr>
                <w:b w:val="1"/>
                <w:rtl w:val="0"/>
              </w:rPr>
              <w:t xml:space="preserve">Headteacher/Principal:</w:t>
            </w:r>
          </w:p>
        </w:tc>
        <w:tc>
          <w:tcPr>
            <w:tcBorders>
              <w:top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05">
            <w:pPr>
              <w:rPr/>
            </w:pPr>
            <w:r w:rsidDel="00000000" w:rsidR="00000000" w:rsidRPr="00000000">
              <w:rPr>
                <w:rtl w:val="0"/>
              </w:rPr>
            </w:r>
          </w:p>
        </w:tc>
      </w:tr>
      <w:tr>
        <w:trPr>
          <w:cantSplit w:val="0"/>
          <w:tblHeader w:val="0"/>
        </w:trPr>
        <w:tc>
          <w:tcPr>
            <w:tcBorders>
              <w:left w:color="000000" w:space="0" w:sz="12" w:val="single"/>
              <w:bottom w:color="000000" w:space="0" w:sz="12" w:val="single"/>
              <w:right w:color="000000" w:space="0" w:sz="12" w:val="single"/>
            </w:tcBorders>
            <w:shd w:fill="999999" w:val="clear"/>
            <w:tcMar>
              <w:top w:w="100.0" w:type="dxa"/>
              <w:left w:w="100.0" w:type="dxa"/>
              <w:bottom w:w="100.0" w:type="dxa"/>
              <w:right w:w="100.0" w:type="dxa"/>
            </w:tcMar>
          </w:tcPr>
          <w:p w:rsidR="00000000" w:rsidDel="00000000" w:rsidP="00000000" w:rsidRDefault="00000000" w:rsidRPr="00000000" w14:paraId="00000006">
            <w:pPr>
              <w:rPr>
                <w:b w:val="1"/>
              </w:rPr>
            </w:pPr>
            <w:r w:rsidDel="00000000" w:rsidR="00000000" w:rsidRPr="00000000">
              <w:rPr>
                <w:b w:val="1"/>
                <w:rtl w:val="0"/>
              </w:rPr>
              <w:t xml:space="preserve">Hub:</w:t>
            </w:r>
          </w:p>
        </w:tc>
        <w:tc>
          <w:tcPr>
            <w:tcBorders>
              <w:top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07">
            <w:pPr>
              <w:rPr/>
            </w:pPr>
            <w:r w:rsidDel="00000000" w:rsidR="00000000" w:rsidRPr="00000000">
              <w:rPr>
                <w:rtl w:val="0"/>
              </w:rPr>
            </w:r>
          </w:p>
        </w:tc>
      </w:tr>
      <w:tr>
        <w:trPr>
          <w:cantSplit w:val="0"/>
          <w:tblHeader w:val="0"/>
        </w:trPr>
        <w:tc>
          <w:tcPr>
            <w:tcBorders>
              <w:left w:color="000000" w:space="0" w:sz="12" w:val="single"/>
              <w:bottom w:color="000000" w:space="0" w:sz="12" w:val="single"/>
              <w:right w:color="000000" w:space="0" w:sz="12" w:val="single"/>
            </w:tcBorders>
            <w:shd w:fill="999999" w:val="clear"/>
            <w:tcMar>
              <w:top w:w="100.0" w:type="dxa"/>
              <w:left w:w="100.0" w:type="dxa"/>
              <w:bottom w:w="100.0" w:type="dxa"/>
              <w:right w:w="100.0" w:type="dxa"/>
            </w:tcMar>
          </w:tcPr>
          <w:p w:rsidR="00000000" w:rsidDel="00000000" w:rsidP="00000000" w:rsidRDefault="00000000" w:rsidRPr="00000000" w14:paraId="00000008">
            <w:pPr>
              <w:rPr>
                <w:b w:val="1"/>
              </w:rPr>
            </w:pPr>
            <w:r w:rsidDel="00000000" w:rsidR="00000000" w:rsidRPr="00000000">
              <w:rPr>
                <w:b w:val="1"/>
                <w:rtl w:val="0"/>
              </w:rPr>
              <w:t xml:space="preserve">School type:</w:t>
            </w:r>
          </w:p>
        </w:tc>
        <w:tc>
          <w:tcPr>
            <w:tcBorders>
              <w:top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09">
            <w:pPr>
              <w:rPr/>
            </w:pPr>
            <w:r w:rsidDel="00000000" w:rsidR="00000000" w:rsidRPr="00000000">
              <w:rPr>
                <w:rtl w:val="0"/>
              </w:rPr>
            </w:r>
          </w:p>
        </w:tc>
      </w:tr>
      <w:tr>
        <w:trPr>
          <w:cantSplit w:val="0"/>
          <w:tblHeader w:val="0"/>
        </w:trPr>
        <w:tc>
          <w:tcPr>
            <w:tcBorders>
              <w:left w:color="000000" w:space="0" w:sz="12" w:val="single"/>
              <w:bottom w:color="000000" w:space="0" w:sz="12" w:val="single"/>
              <w:right w:color="000000" w:space="0" w:sz="12" w:val="single"/>
            </w:tcBorders>
            <w:shd w:fill="999999" w:val="clear"/>
            <w:tcMar>
              <w:top w:w="100.0" w:type="dxa"/>
              <w:left w:w="100.0" w:type="dxa"/>
              <w:bottom w:w="100.0" w:type="dxa"/>
              <w:right w:w="100.0" w:type="dxa"/>
            </w:tcMar>
          </w:tcPr>
          <w:p w:rsidR="00000000" w:rsidDel="00000000" w:rsidP="00000000" w:rsidRDefault="00000000" w:rsidRPr="00000000" w14:paraId="0000000A">
            <w:pPr>
              <w:rPr>
                <w:b w:val="1"/>
              </w:rPr>
            </w:pPr>
            <w:r w:rsidDel="00000000" w:rsidR="00000000" w:rsidRPr="00000000">
              <w:rPr>
                <w:b w:val="1"/>
                <w:rtl w:val="0"/>
              </w:rPr>
              <w:t xml:space="preserve">MAT (if applicable):</w:t>
            </w:r>
          </w:p>
        </w:tc>
        <w:tc>
          <w:tcPr>
            <w:tcBorders>
              <w:top w:color="000000" w:space="0" w:sz="12" w:val="single"/>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0B">
            <w:pPr>
              <w:rPr/>
            </w:pPr>
            <w:r w:rsidDel="00000000" w:rsidR="00000000" w:rsidRPr="00000000">
              <w:rPr>
                <w:rtl w:val="0"/>
              </w:rPr>
            </w:r>
          </w:p>
        </w:tc>
      </w:tr>
    </w:tbl>
    <w:p w:rsidR="00000000" w:rsidDel="00000000" w:rsidP="00000000" w:rsidRDefault="00000000" w:rsidRPr="00000000" w14:paraId="0000000C">
      <w:pPr>
        <w:rPr>
          <w:b w:val="1"/>
        </w:rPr>
      </w:pPr>
      <w:r w:rsidDel="00000000" w:rsidR="00000000" w:rsidRPr="00000000">
        <w:rPr>
          <w:color w:val="404040"/>
          <w:rtl w:val="0"/>
        </w:rPr>
        <w:t xml:space="preserve"> </w:t>
      </w:r>
      <w:r w:rsidDel="00000000" w:rsidR="00000000" w:rsidRPr="00000000">
        <w:rPr>
          <w:b w:val="1"/>
          <w:rtl w:val="0"/>
        </w:rPr>
        <w:t xml:space="preserve"> </w:t>
      </w:r>
    </w:p>
    <w:p w:rsidR="00000000" w:rsidDel="00000000" w:rsidP="00000000" w:rsidRDefault="00000000" w:rsidRPr="00000000" w14:paraId="0000000D">
      <w:pPr>
        <w:tabs>
          <w:tab w:val="left" w:pos="8415"/>
        </w:tabs>
        <w:rPr>
          <w:b w:val="1"/>
        </w:rPr>
      </w:pPr>
      <w:r w:rsidDel="00000000" w:rsidR="00000000" w:rsidRPr="00000000">
        <w:rPr>
          <w:b w:val="1"/>
          <w:rtl w:val="0"/>
        </w:rPr>
        <w:tab/>
      </w:r>
    </w:p>
    <w:tbl>
      <w:tblPr>
        <w:tblStyle w:val="Table2"/>
        <w:tblW w:w="9639.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522"/>
        <w:gridCol w:w="6117"/>
        <w:tblGridChange w:id="0">
          <w:tblGrid>
            <w:gridCol w:w="3522"/>
            <w:gridCol w:w="6117"/>
          </w:tblGrid>
        </w:tblGridChange>
      </w:tblGrid>
      <w:tr>
        <w:trPr>
          <w:cantSplit w:val="0"/>
          <w:tblHeader w:val="0"/>
        </w:trPr>
        <w:tc>
          <w:tcPr>
            <w:tcBorders>
              <w:left w:color="000000" w:space="0" w:sz="12" w:val="single"/>
              <w:bottom w:color="000000" w:space="0" w:sz="12" w:val="single"/>
              <w:right w:color="000000" w:space="0" w:sz="12" w:val="single"/>
            </w:tcBorders>
            <w:shd w:fill="999999" w:val="clear"/>
            <w:tcMar>
              <w:top w:w="100.0" w:type="dxa"/>
              <w:left w:w="100.0" w:type="dxa"/>
              <w:bottom w:w="100.0" w:type="dxa"/>
              <w:right w:w="100.0" w:type="dxa"/>
            </w:tcMar>
          </w:tcPr>
          <w:p w:rsidR="00000000" w:rsidDel="00000000" w:rsidP="00000000" w:rsidRDefault="00000000" w:rsidRPr="00000000" w14:paraId="0000000E">
            <w:pPr>
              <w:rPr>
                <w:b w:val="1"/>
              </w:rPr>
            </w:pPr>
            <w:r w:rsidDel="00000000" w:rsidR="00000000" w:rsidRPr="00000000">
              <w:rPr>
                <w:b w:val="1"/>
                <w:rtl w:val="0"/>
              </w:rPr>
              <w:t xml:space="preserve">Date of this visit:</w:t>
            </w:r>
          </w:p>
        </w:tc>
        <w:tc>
          <w:tcPr>
            <w:tcBorders>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0F">
            <w:pPr>
              <w:rPr/>
            </w:pPr>
            <w:r w:rsidDel="00000000" w:rsidR="00000000" w:rsidRPr="00000000">
              <w:rPr>
                <w:rtl w:val="0"/>
              </w:rPr>
            </w:r>
          </w:p>
        </w:tc>
      </w:tr>
      <w:tr>
        <w:trPr>
          <w:cantSplit w:val="0"/>
          <w:tblHeader w:val="0"/>
        </w:trPr>
        <w:tc>
          <w:tcPr>
            <w:tcBorders>
              <w:left w:color="000000" w:space="0" w:sz="12" w:val="single"/>
              <w:bottom w:color="000000" w:space="0" w:sz="12" w:val="single"/>
              <w:right w:color="000000" w:space="0" w:sz="12" w:val="single"/>
            </w:tcBorders>
            <w:shd w:fill="999999" w:val="clear"/>
            <w:tcMar>
              <w:top w:w="100.0" w:type="dxa"/>
              <w:left w:w="100.0" w:type="dxa"/>
              <w:bottom w:w="100.0" w:type="dxa"/>
              <w:right w:w="100.0" w:type="dxa"/>
            </w:tcMar>
          </w:tcPr>
          <w:p w:rsidR="00000000" w:rsidDel="00000000" w:rsidP="00000000" w:rsidRDefault="00000000" w:rsidRPr="00000000" w14:paraId="00000010">
            <w:pPr>
              <w:rPr>
                <w:b w:val="1"/>
              </w:rPr>
            </w:pPr>
            <w:r w:rsidDel="00000000" w:rsidR="00000000" w:rsidRPr="00000000">
              <w:rPr>
                <w:b w:val="1"/>
                <w:rtl w:val="0"/>
              </w:rPr>
              <w:t xml:space="preserve">Estimate at last QA Review:</w:t>
            </w:r>
          </w:p>
        </w:tc>
        <w:tc>
          <w:tcPr>
            <w:tcBorders>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11">
            <w:pPr>
              <w:rPr/>
            </w:pPr>
            <w:r w:rsidDel="00000000" w:rsidR="00000000" w:rsidRPr="00000000">
              <w:rPr>
                <w:rtl w:val="0"/>
              </w:rPr>
            </w:r>
          </w:p>
        </w:tc>
      </w:tr>
      <w:tr>
        <w:trPr>
          <w:cantSplit w:val="0"/>
          <w:tblHeader w:val="0"/>
        </w:trPr>
        <w:tc>
          <w:tcPr>
            <w:tcBorders>
              <w:left w:color="000000" w:space="0" w:sz="12" w:val="single"/>
              <w:bottom w:color="000000" w:space="0" w:sz="12" w:val="single"/>
              <w:right w:color="000000" w:space="0" w:sz="12" w:val="single"/>
            </w:tcBorders>
            <w:shd w:fill="999999" w:val="clear"/>
            <w:tcMar>
              <w:top w:w="100.0" w:type="dxa"/>
              <w:left w:w="100.0" w:type="dxa"/>
              <w:bottom w:w="100.0" w:type="dxa"/>
              <w:right w:w="100.0" w:type="dxa"/>
            </w:tcMar>
          </w:tcPr>
          <w:p w:rsidR="00000000" w:rsidDel="00000000" w:rsidP="00000000" w:rsidRDefault="00000000" w:rsidRPr="00000000" w14:paraId="00000012">
            <w:pPr>
              <w:rPr>
                <w:b w:val="1"/>
              </w:rPr>
            </w:pPr>
            <w:r w:rsidDel="00000000" w:rsidR="00000000" w:rsidRPr="00000000">
              <w:rPr>
                <w:b w:val="1"/>
                <w:rtl w:val="0"/>
              </w:rPr>
              <w:t xml:space="preserve">Date of last QA Review:</w:t>
            </w:r>
          </w:p>
        </w:tc>
        <w:tc>
          <w:tcPr>
            <w:tcBorders>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13">
            <w:pPr>
              <w:rPr/>
            </w:pPr>
            <w:r w:rsidDel="00000000" w:rsidR="00000000" w:rsidRPr="00000000">
              <w:rPr>
                <w:rtl w:val="0"/>
              </w:rPr>
            </w:r>
          </w:p>
        </w:tc>
      </w:tr>
      <w:tr>
        <w:trPr>
          <w:cantSplit w:val="0"/>
          <w:tblHeader w:val="0"/>
        </w:trPr>
        <w:tc>
          <w:tcPr>
            <w:tcBorders>
              <w:left w:color="000000" w:space="0" w:sz="12" w:val="single"/>
              <w:bottom w:color="000000" w:space="0" w:sz="12" w:val="single"/>
              <w:right w:color="000000" w:space="0" w:sz="12" w:val="single"/>
            </w:tcBorders>
            <w:shd w:fill="999999" w:val="clear"/>
            <w:tcMar>
              <w:top w:w="100.0" w:type="dxa"/>
              <w:left w:w="100.0" w:type="dxa"/>
              <w:bottom w:w="100.0" w:type="dxa"/>
              <w:right w:w="100.0" w:type="dxa"/>
            </w:tcMar>
          </w:tcPr>
          <w:p w:rsidR="00000000" w:rsidDel="00000000" w:rsidP="00000000" w:rsidRDefault="00000000" w:rsidRPr="00000000" w14:paraId="00000014">
            <w:pPr>
              <w:rPr>
                <w:b w:val="1"/>
              </w:rPr>
            </w:pPr>
            <w:r w:rsidDel="00000000" w:rsidR="00000000" w:rsidRPr="00000000">
              <w:rPr>
                <w:b w:val="1"/>
                <w:rtl w:val="0"/>
              </w:rPr>
              <w:t xml:space="preserve">Grade at last Ofsted inspection:</w:t>
            </w:r>
          </w:p>
        </w:tc>
        <w:tc>
          <w:tcPr>
            <w:tcBorders>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15">
            <w:pPr>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999999" w:val="clear"/>
            <w:tcMar>
              <w:top w:w="100.0" w:type="dxa"/>
              <w:left w:w="100.0" w:type="dxa"/>
              <w:bottom w:w="100.0" w:type="dxa"/>
              <w:right w:w="100.0" w:type="dxa"/>
            </w:tcMar>
          </w:tcPr>
          <w:p w:rsidR="00000000" w:rsidDel="00000000" w:rsidP="00000000" w:rsidRDefault="00000000" w:rsidRPr="00000000" w14:paraId="00000016">
            <w:pPr>
              <w:rPr>
                <w:b w:val="1"/>
              </w:rPr>
            </w:pPr>
            <w:r w:rsidDel="00000000" w:rsidR="00000000" w:rsidRPr="00000000">
              <w:rPr>
                <w:b w:val="1"/>
                <w:rtl w:val="0"/>
              </w:rPr>
              <w:t xml:space="preserve">Date of last Ofsted inspection:</w:t>
            </w:r>
          </w:p>
        </w:tc>
        <w:tc>
          <w:tcPr>
            <w:tcBorders>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17">
            <w:pPr>
              <w:rPr/>
            </w:pPr>
            <w:r w:rsidDel="00000000" w:rsidR="00000000" w:rsidRPr="00000000">
              <w:rPr>
                <w:rtl w:val="0"/>
              </w:rPr>
            </w:r>
          </w:p>
        </w:tc>
      </w:tr>
    </w:tbl>
    <w:p w:rsidR="00000000" w:rsidDel="00000000" w:rsidP="00000000" w:rsidRDefault="00000000" w:rsidRPr="00000000" w14:paraId="00000018">
      <w:pPr>
        <w:rPr>
          <w:b w:val="1"/>
          <w:sz w:val="28"/>
          <w:szCs w:val="28"/>
        </w:rPr>
      </w:pPr>
      <w:r w:rsidDel="00000000" w:rsidR="00000000" w:rsidRPr="00000000">
        <w:rPr>
          <w:rtl w:val="0"/>
        </w:rPr>
      </w:r>
    </w:p>
    <w:p w:rsidR="00000000" w:rsidDel="00000000" w:rsidP="00000000" w:rsidRDefault="00000000" w:rsidRPr="00000000" w14:paraId="00000019">
      <w:pPr>
        <w:rPr>
          <w:b w:val="1"/>
          <w:sz w:val="28"/>
          <w:szCs w:val="28"/>
        </w:rPr>
      </w:pPr>
      <w:r w:rsidDel="00000000" w:rsidR="00000000" w:rsidRPr="00000000">
        <w:rPr>
          <w:rtl w:val="0"/>
        </w:rPr>
      </w:r>
    </w:p>
    <w:p w:rsidR="00000000" w:rsidDel="00000000" w:rsidP="00000000" w:rsidRDefault="00000000" w:rsidRPr="00000000" w14:paraId="0000001A">
      <w:pPr>
        <w:rPr>
          <w:b w:val="1"/>
          <w:sz w:val="28"/>
          <w:szCs w:val="28"/>
        </w:rPr>
      </w:pPr>
      <w:r w:rsidDel="00000000" w:rsidR="00000000" w:rsidRPr="00000000">
        <w:rPr>
          <w:rtl w:val="0"/>
        </w:rPr>
      </w:r>
    </w:p>
    <w:p w:rsidR="00000000" w:rsidDel="00000000" w:rsidP="00000000" w:rsidRDefault="00000000" w:rsidRPr="00000000" w14:paraId="0000001B">
      <w:pPr>
        <w:rPr>
          <w:b w:val="1"/>
          <w:sz w:val="28"/>
          <w:szCs w:val="28"/>
        </w:rPr>
      </w:pPr>
      <w:r w:rsidDel="00000000" w:rsidR="00000000" w:rsidRPr="00000000">
        <w:rPr>
          <w:rtl w:val="0"/>
        </w:rPr>
      </w:r>
    </w:p>
    <w:p w:rsidR="00000000" w:rsidDel="00000000" w:rsidP="00000000" w:rsidRDefault="00000000" w:rsidRPr="00000000" w14:paraId="0000001C">
      <w:pPr>
        <w:rPr>
          <w:b w:val="1"/>
          <w:sz w:val="28"/>
          <w:szCs w:val="28"/>
        </w:rPr>
      </w:pPr>
      <w:r w:rsidDel="00000000" w:rsidR="00000000" w:rsidRPr="00000000">
        <w:rPr>
          <w:rtl w:val="0"/>
        </w:rPr>
      </w:r>
    </w:p>
    <w:p w:rsidR="00000000" w:rsidDel="00000000" w:rsidP="00000000" w:rsidRDefault="00000000" w:rsidRPr="00000000" w14:paraId="0000001D">
      <w:pPr>
        <w:rPr>
          <w:b w:val="1"/>
          <w:sz w:val="28"/>
          <w:szCs w:val="28"/>
        </w:rPr>
      </w:pPr>
      <w:r w:rsidDel="00000000" w:rsidR="00000000" w:rsidRPr="00000000">
        <w:rPr>
          <w:rtl w:val="0"/>
        </w:rPr>
      </w:r>
    </w:p>
    <w:p w:rsidR="00000000" w:rsidDel="00000000" w:rsidP="00000000" w:rsidRDefault="00000000" w:rsidRPr="00000000" w14:paraId="0000001E">
      <w:pPr>
        <w:rPr>
          <w:b w:val="1"/>
          <w:sz w:val="28"/>
          <w:szCs w:val="28"/>
        </w:rPr>
      </w:pP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rtl w:val="0"/>
        </w:rPr>
      </w:r>
    </w:p>
    <w:p w:rsidR="00000000" w:rsidDel="00000000" w:rsidP="00000000" w:rsidRDefault="00000000" w:rsidRPr="00000000" w14:paraId="00000020">
      <w:pPr>
        <w:rPr>
          <w:b w:val="1"/>
          <w:sz w:val="28"/>
          <w:szCs w:val="28"/>
        </w:rPr>
      </w:pPr>
      <w:r w:rsidDel="00000000" w:rsidR="00000000" w:rsidRPr="00000000">
        <w:rPr>
          <w:rtl w:val="0"/>
        </w:rPr>
      </w:r>
    </w:p>
    <w:p w:rsidR="00000000" w:rsidDel="00000000" w:rsidP="00000000" w:rsidRDefault="00000000" w:rsidRPr="00000000" w14:paraId="00000021">
      <w:pPr>
        <w:rPr>
          <w:b w:val="1"/>
          <w:sz w:val="28"/>
          <w:szCs w:val="28"/>
        </w:rPr>
      </w:pPr>
      <w:r w:rsidDel="00000000" w:rsidR="00000000" w:rsidRPr="00000000">
        <w:rPr>
          <w:rtl w:val="0"/>
        </w:rPr>
      </w:r>
    </w:p>
    <w:p w:rsidR="00000000" w:rsidDel="00000000" w:rsidP="00000000" w:rsidRDefault="00000000" w:rsidRPr="00000000" w14:paraId="00000022">
      <w:pPr>
        <w:rPr>
          <w:b w:val="1"/>
          <w:sz w:val="28"/>
          <w:szCs w:val="28"/>
        </w:rPr>
      </w:pPr>
      <w:r w:rsidDel="00000000" w:rsidR="00000000" w:rsidRPr="00000000">
        <w:rPr>
          <w:rtl w:val="0"/>
        </w:rPr>
      </w:r>
    </w:p>
    <w:p w:rsidR="00000000" w:rsidDel="00000000" w:rsidP="00000000" w:rsidRDefault="00000000" w:rsidRPr="00000000" w14:paraId="00000023">
      <w:pPr>
        <w:rPr>
          <w:b w:val="1"/>
          <w:sz w:val="28"/>
          <w:szCs w:val="28"/>
        </w:rPr>
      </w:pPr>
      <w:r w:rsidDel="00000000" w:rsidR="00000000" w:rsidRPr="00000000">
        <w:rPr>
          <w:rtl w:val="0"/>
        </w:rPr>
      </w:r>
    </w:p>
    <w:p w:rsidR="00000000" w:rsidDel="00000000" w:rsidP="00000000" w:rsidRDefault="00000000" w:rsidRPr="00000000" w14:paraId="00000024">
      <w:pPr>
        <w:rPr>
          <w:b w:val="1"/>
          <w:sz w:val="28"/>
          <w:szCs w:val="28"/>
        </w:rPr>
      </w:pPr>
      <w:r w:rsidDel="00000000" w:rsidR="00000000" w:rsidRPr="00000000">
        <w:rPr>
          <w:rtl w:val="0"/>
        </w:rPr>
      </w:r>
    </w:p>
    <w:p w:rsidR="00000000" w:rsidDel="00000000" w:rsidP="00000000" w:rsidRDefault="00000000" w:rsidRPr="00000000" w14:paraId="00000025">
      <w:pPr>
        <w:rPr>
          <w:b w:val="1"/>
          <w:sz w:val="28"/>
          <w:szCs w:val="28"/>
        </w:rPr>
      </w:pPr>
      <w:r w:rsidDel="00000000" w:rsidR="00000000" w:rsidRPr="00000000">
        <w:rPr>
          <w:rtl w:val="0"/>
        </w:rPr>
      </w:r>
    </w:p>
    <w:p w:rsidR="00000000" w:rsidDel="00000000" w:rsidP="00000000" w:rsidRDefault="00000000" w:rsidRPr="00000000" w14:paraId="00000026">
      <w:pPr>
        <w:rPr>
          <w:b w:val="1"/>
          <w:sz w:val="28"/>
          <w:szCs w:val="28"/>
        </w:rPr>
      </w:pPr>
      <w:r w:rsidDel="00000000" w:rsidR="00000000" w:rsidRPr="00000000">
        <w:rPr>
          <w:rtl w:val="0"/>
        </w:rPr>
      </w:r>
    </w:p>
    <w:p w:rsidR="00000000" w:rsidDel="00000000" w:rsidP="00000000" w:rsidRDefault="00000000" w:rsidRPr="00000000" w14:paraId="00000027">
      <w:pPr>
        <w:rPr>
          <w:b w:val="1"/>
          <w:sz w:val="28"/>
          <w:szCs w:val="28"/>
        </w:rPr>
      </w:pPr>
      <w:r w:rsidDel="00000000" w:rsidR="00000000" w:rsidRPr="00000000">
        <w:rPr>
          <w:rtl w:val="0"/>
        </w:rPr>
      </w:r>
    </w:p>
    <w:p w:rsidR="00000000" w:rsidDel="00000000" w:rsidP="00000000" w:rsidRDefault="00000000" w:rsidRPr="00000000" w14:paraId="00000028">
      <w:pPr>
        <w:rPr>
          <w:b w:val="1"/>
          <w:sz w:val="28"/>
          <w:szCs w:val="28"/>
        </w:rPr>
      </w:pPr>
      <w:r w:rsidDel="00000000" w:rsidR="00000000" w:rsidRPr="00000000">
        <w:rPr>
          <w:rtl w:val="0"/>
        </w:rPr>
      </w:r>
    </w:p>
    <w:p w:rsidR="00000000" w:rsidDel="00000000" w:rsidP="00000000" w:rsidRDefault="00000000" w:rsidRPr="00000000" w14:paraId="00000029">
      <w:pPr>
        <w:rPr>
          <w:b w:val="1"/>
          <w:sz w:val="28"/>
          <w:szCs w:val="28"/>
        </w:rPr>
      </w:pPr>
      <w:r w:rsidDel="00000000" w:rsidR="00000000" w:rsidRPr="00000000">
        <w:rPr>
          <w:rtl w:val="0"/>
        </w:rPr>
      </w:r>
    </w:p>
    <w:p w:rsidR="00000000" w:rsidDel="00000000" w:rsidP="00000000" w:rsidRDefault="00000000" w:rsidRPr="00000000" w14:paraId="0000002A">
      <w:pPr>
        <w:rPr>
          <w:b w:val="1"/>
          <w:sz w:val="28"/>
          <w:szCs w:val="28"/>
        </w:rPr>
      </w:pPr>
      <w:r w:rsidDel="00000000" w:rsidR="00000000" w:rsidRPr="00000000">
        <w:rPr>
          <w:rtl w:val="0"/>
        </w:rPr>
      </w:r>
    </w:p>
    <w:p w:rsidR="00000000" w:rsidDel="00000000" w:rsidP="00000000" w:rsidRDefault="00000000" w:rsidRPr="00000000" w14:paraId="0000002B">
      <w:pPr>
        <w:rPr>
          <w:b w:val="1"/>
          <w:sz w:val="28"/>
          <w:szCs w:val="28"/>
        </w:rPr>
      </w:pPr>
      <w:r w:rsidDel="00000000" w:rsidR="00000000" w:rsidRPr="00000000">
        <w:rPr>
          <w:b w:val="1"/>
          <w:sz w:val="28"/>
          <w:szCs w:val="28"/>
          <w:rtl w:val="0"/>
        </w:rPr>
        <w:t xml:space="preserve">1. Information about the visit</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In place of a QA Review, </w:t>
      </w:r>
      <w:r w:rsidDel="00000000" w:rsidR="00000000" w:rsidRPr="00000000">
        <w:rPr>
          <w:sz w:val="24"/>
          <w:szCs w:val="24"/>
          <w:highlight w:val="yellow"/>
          <w:rtl w:val="0"/>
        </w:rPr>
        <w:t xml:space="preserve">SCHOOL</w:t>
      </w:r>
      <w:r w:rsidDel="00000000" w:rsidR="00000000" w:rsidRPr="00000000">
        <w:rPr>
          <w:sz w:val="24"/>
          <w:szCs w:val="24"/>
          <w:rtl w:val="0"/>
        </w:rPr>
        <w:t xml:space="preserve"> was visited by a Lead Reviewer who spent </w:t>
      </w:r>
      <w:r w:rsidDel="00000000" w:rsidR="00000000" w:rsidRPr="00000000">
        <w:rPr>
          <w:sz w:val="24"/>
          <w:szCs w:val="24"/>
          <w:highlight w:val="yellow"/>
          <w:rtl w:val="0"/>
        </w:rPr>
        <w:t xml:space="preserve">X</w:t>
      </w:r>
      <w:r w:rsidDel="00000000" w:rsidR="00000000" w:rsidRPr="00000000">
        <w:rPr>
          <w:sz w:val="24"/>
          <w:szCs w:val="24"/>
          <w:rtl w:val="0"/>
        </w:rPr>
        <w:t xml:space="preserve"> days reviewing the following areas with them:</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numPr>
          <w:ilvl w:val="0"/>
          <w:numId w:val="1"/>
        </w:numPr>
        <w:ind w:left="720" w:hanging="360"/>
        <w:rPr>
          <w:sz w:val="24"/>
          <w:szCs w:val="24"/>
        </w:rPr>
      </w:pPr>
      <w:r w:rsidDel="00000000" w:rsidR="00000000" w:rsidRPr="00000000">
        <w:rPr>
          <w:sz w:val="24"/>
          <w:szCs w:val="24"/>
          <w:rtl w:val="0"/>
        </w:rPr>
        <w:t xml:space="preserve">Area 1</w:t>
      </w:r>
    </w:p>
    <w:p w:rsidR="00000000" w:rsidDel="00000000" w:rsidP="00000000" w:rsidRDefault="00000000" w:rsidRPr="00000000" w14:paraId="00000030">
      <w:pPr>
        <w:numPr>
          <w:ilvl w:val="0"/>
          <w:numId w:val="1"/>
        </w:numPr>
        <w:ind w:left="720" w:hanging="360"/>
        <w:rPr>
          <w:sz w:val="24"/>
          <w:szCs w:val="24"/>
        </w:rPr>
      </w:pPr>
      <w:r w:rsidDel="00000000" w:rsidR="00000000" w:rsidRPr="00000000">
        <w:rPr>
          <w:sz w:val="24"/>
          <w:szCs w:val="24"/>
          <w:rtl w:val="0"/>
        </w:rPr>
        <w:t xml:space="preserve">Area 2</w:t>
      </w:r>
    </w:p>
    <w:p w:rsidR="00000000" w:rsidDel="00000000" w:rsidP="00000000" w:rsidRDefault="00000000" w:rsidRPr="00000000" w14:paraId="00000031">
      <w:pPr>
        <w:numPr>
          <w:ilvl w:val="0"/>
          <w:numId w:val="1"/>
        </w:numPr>
        <w:ind w:left="720" w:hanging="360"/>
        <w:rPr>
          <w:sz w:val="24"/>
          <w:szCs w:val="24"/>
        </w:rPr>
      </w:pPr>
      <w:r w:rsidDel="00000000" w:rsidR="00000000" w:rsidRPr="00000000">
        <w:rPr>
          <w:sz w:val="24"/>
          <w:szCs w:val="24"/>
          <w:rtl w:val="0"/>
        </w:rPr>
        <w:t xml:space="preserve">Area 3</w:t>
      </w:r>
    </w:p>
    <w:p w:rsidR="00000000" w:rsidDel="00000000" w:rsidP="00000000" w:rsidRDefault="00000000" w:rsidRPr="00000000" w14:paraId="00000032">
      <w:pPr>
        <w:ind w:left="720" w:firstLine="0"/>
        <w:rPr>
          <w:sz w:val="24"/>
          <w:szCs w:val="24"/>
        </w:rPr>
      </w:pPr>
      <w:r w:rsidDel="00000000" w:rsidR="00000000" w:rsidRPr="00000000">
        <w:rPr>
          <w:rtl w:val="0"/>
        </w:rPr>
      </w:r>
    </w:p>
    <w:tbl>
      <w:tblPr>
        <w:tblStyle w:val="Table3"/>
        <w:tblW w:w="9638.0" w:type="dxa"/>
        <w:jc w:val="left"/>
        <w:tblInd w:w="0.0" w:type="dxa"/>
        <w:tblLayout w:type="fixed"/>
        <w:tblLook w:val="0600"/>
      </w:tblPr>
      <w:tblGrid>
        <w:gridCol w:w="9638"/>
        <w:tblGridChange w:id="0">
          <w:tblGrid>
            <w:gridCol w:w="9638"/>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33">
            <w:pPr>
              <w:rPr>
                <w:sz w:val="28"/>
                <w:szCs w:val="28"/>
              </w:rPr>
            </w:pPr>
            <w:r w:rsidDel="00000000" w:rsidR="00000000" w:rsidRPr="00000000">
              <w:rPr>
                <w:b w:val="1"/>
                <w:sz w:val="28"/>
                <w:szCs w:val="28"/>
                <w:rtl w:val="0"/>
              </w:rPr>
              <w:t xml:space="preserve">2. Information about the school</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line="259" w:lineRule="auto"/>
              <w:ind w:left="709" w:hanging="357"/>
              <w:rPr>
                <w:color w:val="000000"/>
                <w:sz w:val="24"/>
                <w:szCs w:val="24"/>
              </w:rPr>
            </w:pPr>
            <w:r w:rsidDel="00000000" w:rsidR="00000000" w:rsidRPr="00000000">
              <w:rPr>
                <w:color w:val="000000"/>
                <w:sz w:val="24"/>
                <w:szCs w:val="24"/>
                <w:rtl w:val="0"/>
              </w:rPr>
              <w:t xml:space="preserv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5">
            <w:pPr>
              <w:rPr>
                <w:b w:val="1"/>
                <w:sz w:val="26"/>
                <w:szCs w:val="26"/>
              </w:rPr>
            </w:pPr>
            <w:r w:rsidDel="00000000" w:rsidR="00000000" w:rsidRPr="00000000">
              <w:rPr>
                <w:rtl w:val="0"/>
              </w:rPr>
            </w:r>
          </w:p>
          <w:p w:rsidR="00000000" w:rsidDel="00000000" w:rsidP="00000000" w:rsidRDefault="00000000" w:rsidRPr="00000000" w14:paraId="00000036">
            <w:pPr>
              <w:rPr>
                <w:b w:val="1"/>
                <w:sz w:val="26"/>
                <w:szCs w:val="26"/>
              </w:rPr>
            </w:pPr>
            <w:r w:rsidDel="00000000" w:rsidR="00000000" w:rsidRPr="00000000">
              <w:rPr>
                <w:rtl w:val="0"/>
              </w:rPr>
            </w:r>
          </w:p>
          <w:p w:rsidR="00000000" w:rsidDel="00000000" w:rsidP="00000000" w:rsidRDefault="00000000" w:rsidRPr="00000000" w14:paraId="00000037">
            <w:pPr>
              <w:rPr>
                <w:b w:val="1"/>
                <w:sz w:val="28"/>
                <w:szCs w:val="28"/>
              </w:rPr>
            </w:pPr>
            <w:r w:rsidDel="00000000" w:rsidR="00000000" w:rsidRPr="00000000">
              <w:rPr>
                <w:b w:val="1"/>
                <w:sz w:val="28"/>
                <w:szCs w:val="28"/>
                <w:rtl w:val="0"/>
              </w:rPr>
              <w:t xml:space="preserve">3.1 Area 1 – What went well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line="259" w:lineRule="auto"/>
              <w:ind w:left="709" w:hanging="357"/>
              <w:rPr>
                <w:color w:val="000000"/>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9">
            <w:pPr>
              <w:rPr>
                <w:b w:val="1"/>
                <w:sz w:val="26"/>
                <w:szCs w:val="26"/>
              </w:rPr>
            </w:pPr>
            <w:r w:rsidDel="00000000" w:rsidR="00000000" w:rsidRPr="00000000">
              <w:rPr>
                <w:rtl w:val="0"/>
              </w:rPr>
            </w:r>
          </w:p>
          <w:p w:rsidR="00000000" w:rsidDel="00000000" w:rsidP="00000000" w:rsidRDefault="00000000" w:rsidRPr="00000000" w14:paraId="0000003A">
            <w:pPr>
              <w:rPr>
                <w:b w:val="1"/>
                <w:sz w:val="28"/>
                <w:szCs w:val="28"/>
              </w:rPr>
            </w:pPr>
            <w:r w:rsidDel="00000000" w:rsidR="00000000" w:rsidRPr="00000000">
              <w:rPr>
                <w:b w:val="1"/>
                <w:sz w:val="28"/>
                <w:szCs w:val="28"/>
                <w:rtl w:val="0"/>
              </w:rPr>
              <w:t xml:space="preserve">3.2 Area 1 – Even better if…</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59" w:lineRule="auto"/>
              <w:ind w:hanging="720"/>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59" w:lineRule="auto"/>
              <w:ind w:left="709" w:hanging="720"/>
              <w:rPr>
                <w:color w:val="000000"/>
                <w:sz w:val="24"/>
                <w:szCs w:val="24"/>
              </w:rPr>
            </w:pPr>
            <w:r w:rsidDel="00000000" w:rsidR="00000000" w:rsidRPr="00000000">
              <w:rPr>
                <w:sz w:val="24"/>
                <w:szCs w:val="24"/>
                <w:rtl w:val="0"/>
              </w:rPr>
              <w:t xml:space="preserv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D">
            <w:pPr>
              <w:rPr>
                <w:b w:val="1"/>
                <w:sz w:val="26"/>
                <w:szCs w:val="26"/>
              </w:rPr>
            </w:pPr>
            <w:r w:rsidDel="00000000" w:rsidR="00000000" w:rsidRPr="00000000">
              <w:rPr>
                <w:rtl w:val="0"/>
              </w:rPr>
            </w:r>
          </w:p>
          <w:p w:rsidR="00000000" w:rsidDel="00000000" w:rsidP="00000000" w:rsidRDefault="00000000" w:rsidRPr="00000000" w14:paraId="0000003E">
            <w:pPr>
              <w:rPr>
                <w:b w:val="1"/>
                <w:sz w:val="28"/>
                <w:szCs w:val="28"/>
              </w:rPr>
            </w:pPr>
            <w:r w:rsidDel="00000000" w:rsidR="00000000" w:rsidRPr="00000000">
              <w:rPr>
                <w:b w:val="1"/>
                <w:sz w:val="28"/>
                <w:szCs w:val="28"/>
                <w:rtl w:val="0"/>
              </w:rPr>
              <w:t xml:space="preserve">4.1 Area 2  - What went well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line="259" w:lineRule="auto"/>
              <w:ind w:left="709" w:hanging="357"/>
              <w:rPr>
                <w:b w:val="1"/>
                <w:color w:val="000000"/>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0">
            <w:pPr>
              <w:rPr>
                <w:b w:val="1"/>
                <w:sz w:val="26"/>
                <w:szCs w:val="26"/>
              </w:rPr>
            </w:pPr>
            <w:r w:rsidDel="00000000" w:rsidR="00000000" w:rsidRPr="00000000">
              <w:rPr>
                <w:rtl w:val="0"/>
              </w:rPr>
            </w:r>
          </w:p>
          <w:p w:rsidR="00000000" w:rsidDel="00000000" w:rsidP="00000000" w:rsidRDefault="00000000" w:rsidRPr="00000000" w14:paraId="00000041">
            <w:pPr>
              <w:rPr>
                <w:b w:val="1"/>
                <w:sz w:val="28"/>
                <w:szCs w:val="28"/>
              </w:rPr>
            </w:pPr>
            <w:r w:rsidDel="00000000" w:rsidR="00000000" w:rsidRPr="00000000">
              <w:rPr>
                <w:b w:val="1"/>
                <w:sz w:val="28"/>
                <w:szCs w:val="28"/>
                <w:rtl w:val="0"/>
              </w:rPr>
              <w:t xml:space="preserve">4.2 Area 2 – Even better if…</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60" w:line="259" w:lineRule="auto"/>
              <w:ind w:hanging="720"/>
              <w:rPr>
                <w:sz w:val="24"/>
                <w:szCs w:val="24"/>
              </w:rPr>
            </w:pPr>
            <w:r w:rsidDel="00000000" w:rsidR="00000000" w:rsidRPr="00000000">
              <w:rPr>
                <w:color w:val="000000"/>
                <w:sz w:val="24"/>
                <w:szCs w:val="24"/>
                <w:rtl w:val="0"/>
              </w:rPr>
              <w:t xml:space="preserve">…</w:t>
            </w:r>
            <w:r w:rsidDel="00000000" w:rsidR="00000000" w:rsidRPr="00000000">
              <w:rPr>
                <w:sz w:val="24"/>
                <w:szCs w:val="24"/>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b w:val="1"/>
                <w:sz w:val="26"/>
                <w:szCs w:val="26"/>
                <w:highlight w:val="white"/>
              </w:rPr>
            </w:pPr>
            <w:r w:rsidDel="00000000" w:rsidR="00000000" w:rsidRPr="00000000">
              <w:rPr>
                <w:rtl w:val="0"/>
              </w:rPr>
            </w:r>
          </w:p>
          <w:p w:rsidR="00000000" w:rsidDel="00000000" w:rsidP="00000000" w:rsidRDefault="00000000" w:rsidRPr="00000000" w14:paraId="00000044">
            <w:pPr>
              <w:widowControl w:val="0"/>
              <w:rPr>
                <w:b w:val="1"/>
                <w:sz w:val="28"/>
                <w:szCs w:val="28"/>
                <w:highlight w:val="white"/>
              </w:rPr>
            </w:pPr>
            <w:r w:rsidDel="00000000" w:rsidR="00000000" w:rsidRPr="00000000">
              <w:rPr>
                <w:b w:val="1"/>
                <w:sz w:val="28"/>
                <w:szCs w:val="28"/>
                <w:highlight w:val="white"/>
                <w:rtl w:val="0"/>
              </w:rPr>
              <w:t xml:space="preserve">5.1 Area 3 – What went well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pacing w:line="259" w:lineRule="auto"/>
              <w:ind w:left="709" w:hanging="357"/>
              <w:rPr>
                <w:color w:val="000000"/>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b w:val="1"/>
                <w:sz w:val="26"/>
                <w:szCs w:val="26"/>
              </w:rPr>
            </w:pPr>
            <w:r w:rsidDel="00000000" w:rsidR="00000000" w:rsidRPr="00000000">
              <w:rPr>
                <w:rtl w:val="0"/>
              </w:rPr>
            </w:r>
          </w:p>
          <w:p w:rsidR="00000000" w:rsidDel="00000000" w:rsidP="00000000" w:rsidRDefault="00000000" w:rsidRPr="00000000" w14:paraId="00000047">
            <w:pPr>
              <w:widowControl w:val="0"/>
              <w:rPr>
                <w:sz w:val="28"/>
                <w:szCs w:val="28"/>
                <w:highlight w:val="white"/>
              </w:rPr>
            </w:pPr>
            <w:r w:rsidDel="00000000" w:rsidR="00000000" w:rsidRPr="00000000">
              <w:rPr>
                <w:b w:val="1"/>
                <w:sz w:val="28"/>
                <w:szCs w:val="28"/>
                <w:rtl w:val="0"/>
              </w:rPr>
              <w:t xml:space="preserve">5.2 Area 3 – Even better if...</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sz w:val="24"/>
                <w:szCs w:val="24"/>
                <w:highlight w:val="white"/>
              </w:rPr>
            </w:pPr>
            <w:r w:rsidDel="00000000" w:rsidR="00000000" w:rsidRPr="00000000">
              <w:rPr>
                <w:sz w:val="24"/>
                <w:szCs w:val="24"/>
                <w:rtl w:val="0"/>
              </w:rPr>
              <w:t xml:space="preserv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9">
            <w:pPr>
              <w:widowControl w:val="0"/>
              <w:rPr>
                <w:sz w:val="28"/>
                <w:szCs w:val="28"/>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59" w:lineRule="auto"/>
              <w:ind w:left="0" w:firstLine="0"/>
              <w:rPr>
                <w:color w:val="000000"/>
                <w:sz w:val="24"/>
                <w:szCs w:val="24"/>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B">
            <w:pPr>
              <w:rPr>
                <w:b w:val="1"/>
                <w:sz w:val="26"/>
                <w:szCs w:val="26"/>
              </w:rPr>
            </w:pPr>
            <w:r w:rsidDel="00000000" w:rsidR="00000000" w:rsidRPr="00000000">
              <w:rPr>
                <w:rtl w:val="0"/>
              </w:rPr>
            </w:r>
          </w:p>
          <w:p w:rsidR="00000000" w:rsidDel="00000000" w:rsidP="00000000" w:rsidRDefault="00000000" w:rsidRPr="00000000" w14:paraId="0000004C">
            <w:pPr>
              <w:rPr>
                <w:b w:val="1"/>
                <w:sz w:val="26"/>
                <w:szCs w:val="26"/>
              </w:rPr>
            </w:pPr>
            <w:r w:rsidDel="00000000" w:rsidR="00000000" w:rsidRPr="00000000">
              <w:rPr>
                <w:rtl w:val="0"/>
              </w:rPr>
            </w:r>
          </w:p>
        </w:tc>
      </w:tr>
    </w:tbl>
    <w:p w:rsidR="00000000" w:rsidDel="00000000" w:rsidP="00000000" w:rsidRDefault="00000000" w:rsidRPr="00000000" w14:paraId="0000004D">
      <w:pPr>
        <w:rPr>
          <w:b w:val="1"/>
          <w:sz w:val="26"/>
          <w:szCs w:val="26"/>
        </w:rPr>
      </w:pPr>
      <w:r w:rsidDel="00000000" w:rsidR="00000000" w:rsidRPr="00000000">
        <w:rPr>
          <w:rtl w:val="0"/>
        </w:rPr>
      </w:r>
    </w:p>
    <w:p w:rsidR="00000000" w:rsidDel="00000000" w:rsidP="00000000" w:rsidRDefault="00000000" w:rsidRPr="00000000" w14:paraId="0000004E">
      <w:pPr>
        <w:rPr>
          <w:b w:val="1"/>
          <w:sz w:val="26"/>
          <w:szCs w:val="26"/>
          <w:u w:val="single"/>
        </w:rPr>
      </w:pPr>
      <w:r w:rsidDel="00000000" w:rsidR="00000000" w:rsidRPr="00000000">
        <w:rPr>
          <w:b w:val="1"/>
          <w:sz w:val="26"/>
          <w:szCs w:val="26"/>
          <w:u w:val="single"/>
          <w:rtl w:val="0"/>
        </w:rPr>
        <w:t xml:space="preserve">Following the QA Review</w:t>
      </w:r>
    </w:p>
    <w:p w:rsidR="00000000" w:rsidDel="00000000" w:rsidP="00000000" w:rsidRDefault="00000000" w:rsidRPr="00000000" w14:paraId="0000004F">
      <w:pPr>
        <w:rPr>
          <w:b w:val="1"/>
          <w:sz w:val="26"/>
          <w:szCs w:val="26"/>
          <w:u w:val="single"/>
        </w:rPr>
      </w:pPr>
      <w:r w:rsidDel="00000000" w:rsidR="00000000" w:rsidRPr="00000000">
        <w:rPr>
          <w:rtl w:val="0"/>
        </w:rPr>
      </w:r>
    </w:p>
    <w:p w:rsidR="00000000" w:rsidDel="00000000" w:rsidP="00000000" w:rsidRDefault="00000000" w:rsidRPr="00000000" w14:paraId="00000050">
      <w:pPr>
        <w:shd w:fill="ffffff" w:val="clear"/>
        <w:spacing w:line="276.0005454545455" w:lineRule="auto"/>
        <w:rPr>
          <w:color w:val="222222"/>
          <w:sz w:val="24"/>
          <w:szCs w:val="24"/>
        </w:rPr>
      </w:pPr>
      <w:r w:rsidDel="00000000" w:rsidR="00000000" w:rsidRPr="00000000">
        <w:rPr>
          <w:color w:val="222222"/>
          <w:sz w:val="24"/>
          <w:szCs w:val="24"/>
          <w:rtl w:val="0"/>
        </w:rPr>
        <w:t xml:space="preserve">The review report is primarily for the school's internal use to support the school's continuing improvement. However, we encourage you to share the main findings with your hub/hub manager so that they can support your hub’s activity planning. Challenge Partners will also collate and analyse report content to create an aggregate picture of what is going on across the sector each year.</w:t>
      </w:r>
    </w:p>
    <w:p w:rsidR="00000000" w:rsidDel="00000000" w:rsidP="00000000" w:rsidRDefault="00000000" w:rsidRPr="00000000" w14:paraId="00000051">
      <w:pPr>
        <w:shd w:fill="ffffff" w:val="clear"/>
        <w:spacing w:line="276.0005454545455" w:lineRule="auto"/>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52">
      <w:pPr>
        <w:shd w:fill="ffffff" w:val="clear"/>
        <w:spacing w:line="276.0005454545455" w:lineRule="auto"/>
        <w:rPr>
          <w:color w:val="222222"/>
          <w:sz w:val="24"/>
          <w:szCs w:val="24"/>
        </w:rPr>
      </w:pPr>
      <w:r w:rsidDel="00000000" w:rsidR="00000000" w:rsidRPr="00000000">
        <w:rPr>
          <w:color w:val="222222"/>
          <w:sz w:val="24"/>
          <w:szCs w:val="24"/>
          <w:rtl w:val="0"/>
        </w:rPr>
        <w:t xml:space="preserve">For further support following your QA Review, schools can access the School Support Directory; the Challenge Partners online tool that enables schools to connect with other schools in your hub and across the national network of schools.</w:t>
      </w:r>
    </w:p>
    <w:p w:rsidR="00000000" w:rsidDel="00000000" w:rsidP="00000000" w:rsidRDefault="00000000" w:rsidRPr="00000000" w14:paraId="00000053">
      <w:pPr>
        <w:shd w:fill="ffffff" w:val="clear"/>
        <w:spacing w:line="276.0005454545455" w:lineRule="auto"/>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54">
      <w:pPr>
        <w:shd w:fill="ffffff" w:val="clear"/>
        <w:spacing w:line="276.0005454545455" w:lineRule="auto"/>
        <w:rPr>
          <w:color w:val="222222"/>
          <w:sz w:val="24"/>
          <w:szCs w:val="24"/>
        </w:rPr>
      </w:pPr>
      <w:r w:rsidDel="00000000" w:rsidR="00000000" w:rsidRPr="00000000">
        <w:rPr>
          <w:color w:val="222222"/>
          <w:sz w:val="24"/>
          <w:szCs w:val="24"/>
          <w:rtl w:val="0"/>
        </w:rPr>
        <w:t xml:space="preserve">Schools can also attend Sharing Leading Practice (SLP) events where schools showcase excellent and/or innovative practice. Sharing Leading Practice events allow school leaders with specific improvement needs to visit a school or attend an online webinar hosted by a school, with outstanding provision in that area.</w:t>
      </w:r>
    </w:p>
    <w:p w:rsidR="00000000" w:rsidDel="00000000" w:rsidP="00000000" w:rsidRDefault="00000000" w:rsidRPr="00000000" w14:paraId="00000055">
      <w:pPr>
        <w:shd w:fill="ffffff" w:val="clear"/>
        <w:spacing w:line="276.0005454545455" w:lineRule="auto"/>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56">
      <w:pPr>
        <w:shd w:fill="ffffff" w:val="clear"/>
        <w:spacing w:line="276.0005454545455" w:lineRule="auto"/>
        <w:rPr>
          <w:color w:val="222222"/>
          <w:sz w:val="24"/>
          <w:szCs w:val="24"/>
        </w:rPr>
      </w:pPr>
      <w:r w:rsidDel="00000000" w:rsidR="00000000" w:rsidRPr="00000000">
        <w:rPr>
          <w:color w:val="222222"/>
          <w:sz w:val="24"/>
          <w:szCs w:val="24"/>
          <w:rtl w:val="0"/>
        </w:rPr>
        <w:t xml:space="preserve">Both the School Support Directory and the Shared Leading Practice events can be accessed via the Challenge Partners website.</w:t>
      </w:r>
      <w:hyperlink r:id="rId7">
        <w:r w:rsidDel="00000000" w:rsidR="00000000" w:rsidRPr="00000000">
          <w:rPr>
            <w:color w:val="1155cc"/>
            <w:sz w:val="24"/>
            <w:szCs w:val="24"/>
            <w:u w:val="single"/>
            <w:rtl w:val="0"/>
          </w:rPr>
          <w:t xml:space="preserve">(https://www.challengepartners.org/</w:t>
        </w:r>
      </w:hyperlink>
      <w:r w:rsidDel="00000000" w:rsidR="00000000" w:rsidRPr="00000000">
        <w:rPr>
          <w:color w:val="222222"/>
          <w:sz w:val="24"/>
          <w:szCs w:val="24"/>
          <w:rtl w:val="0"/>
        </w:rPr>
        <w:t xml:space="preserve">)</w:t>
      </w:r>
    </w:p>
    <w:p w:rsidR="00000000" w:rsidDel="00000000" w:rsidP="00000000" w:rsidRDefault="00000000" w:rsidRPr="00000000" w14:paraId="00000057">
      <w:pPr>
        <w:shd w:fill="ffffff" w:val="clear"/>
        <w:spacing w:line="276.0005454545455" w:lineRule="auto"/>
        <w:rPr>
          <w:color w:val="222222"/>
          <w:sz w:val="24"/>
          <w:szCs w:val="24"/>
        </w:rPr>
      </w:pPr>
      <w:r w:rsidDel="00000000" w:rsidR="00000000" w:rsidRPr="00000000">
        <w:rPr>
          <w:rtl w:val="0"/>
        </w:rPr>
      </w:r>
    </w:p>
    <w:p w:rsidR="00000000" w:rsidDel="00000000" w:rsidP="00000000" w:rsidRDefault="00000000" w:rsidRPr="00000000" w14:paraId="00000058">
      <w:pPr>
        <w:shd w:fill="ffffff" w:val="clear"/>
        <w:spacing w:line="276.0005454545455" w:lineRule="auto"/>
        <w:rPr>
          <w:sz w:val="24"/>
          <w:szCs w:val="24"/>
        </w:rPr>
      </w:pPr>
      <w:r w:rsidDel="00000000" w:rsidR="00000000" w:rsidRPr="00000000">
        <w:rPr>
          <w:sz w:val="24"/>
          <w:szCs w:val="24"/>
          <w:rtl w:val="0"/>
        </w:rPr>
        <w:t xml:space="preserve">Finally, following the QA Review, schools may find it useful to refer to research such as the EEF toolkit to help inform their approach to tackling the EBIs identified in the report </w:t>
      </w:r>
      <w:r w:rsidDel="00000000" w:rsidR="00000000" w:rsidRPr="00000000">
        <w:rPr>
          <w:color w:val="222222"/>
          <w:sz w:val="24"/>
          <w:szCs w:val="24"/>
          <w:rtl w:val="0"/>
        </w:rPr>
        <w:t xml:space="preserve">(</w:t>
      </w:r>
      <w:hyperlink r:id="rId8">
        <w:r w:rsidDel="00000000" w:rsidR="00000000" w:rsidRPr="00000000">
          <w:rPr>
            <w:color w:val="1155cc"/>
            <w:sz w:val="24"/>
            <w:szCs w:val="24"/>
            <w:u w:val="single"/>
            <w:rtl w:val="0"/>
          </w:rPr>
          <w:t xml:space="preserve">https://educationendowmentfoundation.org.uk/education-evidence/teaching-learning-toolkit</w:t>
        </w:r>
      </w:hyperlink>
      <w:r w:rsidDel="00000000" w:rsidR="00000000" w:rsidRPr="00000000">
        <w:rPr>
          <w:color w:val="222222"/>
          <w:sz w:val="24"/>
          <w:szCs w:val="24"/>
          <w:rtl w:val="0"/>
        </w:rPr>
        <w:t xml:space="preserve">)</w:t>
      </w:r>
      <w:r w:rsidDel="00000000" w:rsidR="00000000" w:rsidRPr="00000000">
        <w:rPr>
          <w:rtl w:val="0"/>
        </w:rPr>
      </w:r>
    </w:p>
    <w:p w:rsidR="00000000" w:rsidDel="00000000" w:rsidP="00000000" w:rsidRDefault="00000000" w:rsidRPr="00000000" w14:paraId="00000059">
      <w:pPr>
        <w:rPr>
          <w:sz w:val="26"/>
          <w:szCs w:val="26"/>
        </w:rPr>
      </w:pPr>
      <w:r w:rsidDel="00000000" w:rsidR="00000000" w:rsidRPr="00000000">
        <w:rPr>
          <w:rtl w:val="0"/>
        </w:rPr>
      </w:r>
    </w:p>
    <w:sectPr>
      <w:headerReference r:id="rId9" w:type="default"/>
      <w:footerReference r:id="rId10" w:type="default"/>
      <w:pgSz w:h="16838" w:w="11906" w:orient="portrait"/>
      <w:pgMar w:bottom="1133" w:top="1133" w:left="1133" w:right="113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b w:val="1"/>
        <w:color w:val="999999"/>
        <w:sz w:val="24"/>
        <w:szCs w:val="24"/>
      </w:rPr>
    </w:pPr>
    <w:r w:rsidDel="00000000" w:rsidR="00000000" w:rsidRPr="00000000">
      <w:rPr>
        <w:b w:val="1"/>
        <w:color w:val="999999"/>
        <w:sz w:val="24"/>
        <w:szCs w:val="24"/>
        <w:rtl w:val="0"/>
      </w:rPr>
      <w:t xml:space="preserve">Page </w:t>
    </w:r>
    <w:r w:rsidDel="00000000" w:rsidR="00000000" w:rsidRPr="00000000">
      <w:rPr>
        <w:b w:val="1"/>
        <w:color w:val="999999"/>
        <w:sz w:val="24"/>
        <w:szCs w:val="24"/>
      </w:rPr>
      <w:fldChar w:fldCharType="begin"/>
      <w:instrText xml:space="preserve">PAGE</w:instrText>
      <w:fldChar w:fldCharType="separate"/>
      <w:fldChar w:fldCharType="end"/>
    </w:r>
    <w:r w:rsidDel="00000000" w:rsidR="00000000" w:rsidRPr="00000000">
      <w:rPr>
        <w:b w:val="1"/>
        <w:color w:val="999999"/>
        <w:sz w:val="24"/>
        <w:szCs w:val="24"/>
        <w:rtl w:val="0"/>
      </w:rPr>
      <w:t xml:space="preserve"> of </w:t>
    </w:r>
    <w:r w:rsidDel="00000000" w:rsidR="00000000" w:rsidRPr="00000000">
      <w:rPr>
        <w:b w:val="1"/>
        <w:color w:val="999999"/>
        <w:sz w:val="24"/>
        <w:szCs w:val="24"/>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rPr/>
    </w:pPr>
    <w:r w:rsidDel="00000000" w:rsidR="00000000" w:rsidRPr="00000000">
      <w:rPr>
        <w:rtl w:val="0"/>
      </w:rPr>
    </w:r>
  </w:p>
  <w:tbl>
    <w:tblPr>
      <w:tblStyle w:val="Table4"/>
      <w:tblW w:w="9638.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19"/>
      <w:tblGridChange w:id="0">
        <w:tblGrid>
          <w:gridCol w:w="4819"/>
          <w:gridCol w:w="481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B">
          <w:pPr>
            <w:rPr/>
          </w:pPr>
          <w:r w:rsidDel="00000000" w:rsidR="00000000" w:rsidRPr="00000000">
            <w:rPr/>
            <w:drawing>
              <wp:inline distB="114300" distT="114300" distL="114300" distR="114300">
                <wp:extent cx="1885950" cy="81915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5950" cy="81915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C">
          <w:pPr>
            <w:widowControl w:val="0"/>
            <w:spacing w:line="240" w:lineRule="auto"/>
            <w:jc w:val="right"/>
            <w:rPr>
              <w:b w:val="1"/>
              <w:color w:val="999999"/>
              <w:sz w:val="28"/>
              <w:szCs w:val="28"/>
            </w:rPr>
          </w:pPr>
          <w:r w:rsidDel="00000000" w:rsidR="00000000" w:rsidRPr="00000000">
            <w:rPr>
              <w:rtl w:val="0"/>
            </w:rPr>
          </w:r>
        </w:p>
        <w:p w:rsidR="00000000" w:rsidDel="00000000" w:rsidP="00000000" w:rsidRDefault="00000000" w:rsidRPr="00000000" w14:paraId="0000005D">
          <w:pPr>
            <w:widowControl w:val="0"/>
            <w:spacing w:line="240" w:lineRule="auto"/>
            <w:jc w:val="right"/>
            <w:rPr>
              <w:b w:val="1"/>
              <w:color w:val="999999"/>
              <w:sz w:val="28"/>
              <w:szCs w:val="28"/>
            </w:rPr>
          </w:pPr>
          <w:r w:rsidDel="00000000" w:rsidR="00000000" w:rsidRPr="00000000">
            <w:rPr>
              <w:rtl w:val="0"/>
            </w:rPr>
          </w:r>
        </w:p>
        <w:p w:rsidR="00000000" w:rsidDel="00000000" w:rsidP="00000000" w:rsidRDefault="00000000" w:rsidRPr="00000000" w14:paraId="0000005E">
          <w:pPr>
            <w:widowControl w:val="0"/>
            <w:spacing w:line="240" w:lineRule="auto"/>
            <w:jc w:val="right"/>
            <w:rPr>
              <w:b w:val="1"/>
              <w:color w:val="999999"/>
              <w:sz w:val="28"/>
              <w:szCs w:val="28"/>
            </w:rPr>
          </w:pPr>
          <w:r w:rsidDel="00000000" w:rsidR="00000000" w:rsidRPr="00000000">
            <w:rPr>
              <w:b w:val="1"/>
              <w:color w:val="999999"/>
              <w:sz w:val="28"/>
              <w:szCs w:val="28"/>
              <w:rtl w:val="0"/>
            </w:rPr>
            <w:t xml:space="preserve">LEAD REVIEWER ONLY REVIEW/ CONSULTANCY REPORT FOR</w:t>
          </w:r>
        </w:p>
        <w:p w:rsidR="00000000" w:rsidDel="00000000" w:rsidP="00000000" w:rsidRDefault="00000000" w:rsidRPr="00000000" w14:paraId="0000005F">
          <w:pPr>
            <w:widowControl w:val="0"/>
            <w:spacing w:line="240" w:lineRule="auto"/>
            <w:jc w:val="right"/>
            <w:rPr>
              <w:rFonts w:ascii="Roboto" w:cs="Roboto" w:eastAsia="Roboto" w:hAnsi="Roboto"/>
              <w:b w:val="1"/>
              <w:color w:val="999999"/>
              <w:sz w:val="28"/>
              <w:szCs w:val="28"/>
              <w:highlight w:val="yellow"/>
            </w:rPr>
          </w:pPr>
          <w:r w:rsidDel="00000000" w:rsidR="00000000" w:rsidRPr="00000000">
            <w:rPr>
              <w:b w:val="1"/>
              <w:color w:val="999999"/>
              <w:sz w:val="28"/>
              <w:szCs w:val="28"/>
              <w:highlight w:val="yellow"/>
              <w:rtl w:val="0"/>
            </w:rPr>
            <w:t xml:space="preserve">SCHOOLNAME</w:t>
          </w:r>
          <w:r w:rsidDel="00000000" w:rsidR="00000000" w:rsidRPr="00000000">
            <w:rPr>
              <w:rtl w:val="0"/>
            </w:rPr>
          </w:r>
        </w:p>
      </w:tc>
    </w:tr>
  </w:tbl>
  <w:p w:rsidR="00000000" w:rsidDel="00000000" w:rsidP="00000000" w:rsidRDefault="00000000" w:rsidRPr="00000000" w14:paraId="0000006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09" w:hanging="353.9999999999999"/>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hallengepartners.org/" TargetMode="External"/><Relationship Id="rId8" Type="http://schemas.openxmlformats.org/officeDocument/2006/relationships/hyperlink" Target="https://educationendowmentfoundation.org.uk/education-evidence/teaching-learning-toolk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Uit2wq9Wj4AT0Mp/n5JIFLZz4w==">AMUW2mUibEIkVWtEoTCVEL+OJDQiT+wLqBScX2l3l2CTpmGXVFfXvEtGiurHK7kQtdihwBC4q8l2UxsDm6EW+Oa5PqITOywNVwVhUZxMu75xw4ceJJ+uw7M4RWZfI8NW+aeANkDuIchY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2018-05-11T14:56:00Z</dcterms:created>
  <dc:creator>Grace Hiorns</dc:creator>
</cp:coreProperties>
</file>